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0"/>
          <w:szCs w:val="20"/>
        </w:rPr>
      </w:pPr>
      <w:r w:rsidDel="00000000" w:rsidR="00000000" w:rsidRPr="00000000">
        <w:rPr>
          <w:b w:val="1"/>
          <w:sz w:val="20"/>
          <w:szCs w:val="20"/>
          <w:rtl w:val="0"/>
        </w:rPr>
        <w:t xml:space="preserve">EL DITRITO SIGUE SOBRE ENDEUDADO.PROBELMAS DE LIQUIDEZ</w:t>
      </w:r>
    </w:p>
    <w:p w:rsidR="00000000" w:rsidDel="00000000" w:rsidP="00000000" w:rsidRDefault="00000000" w:rsidRPr="00000000" w14:paraId="00000002">
      <w:pPr>
        <w:rPr>
          <w:sz w:val="20"/>
          <w:szCs w:val="20"/>
        </w:rPr>
      </w:pPr>
      <w:r w:rsidDel="00000000" w:rsidR="00000000" w:rsidRPr="00000000">
        <w:rPr>
          <w:sz w:val="20"/>
          <w:szCs w:val="20"/>
          <w:rtl w:val="0"/>
        </w:rPr>
        <w:t xml:space="preserve">Por: Jorge Vergara Carbó</w:t>
      </w:r>
    </w:p>
    <w:p w:rsidR="00000000" w:rsidDel="00000000" w:rsidP="00000000" w:rsidRDefault="00000000" w:rsidRPr="00000000" w14:paraId="00000003">
      <w:pPr>
        <w:rPr>
          <w:rFonts w:ascii="Roboto" w:cs="Roboto" w:eastAsia="Roboto" w:hAnsi="Roboto"/>
          <w:color w:val="4a4a4a"/>
          <w:sz w:val="20"/>
          <w:szCs w:val="20"/>
        </w:rPr>
      </w:pPr>
      <w:r w:rsidDel="00000000" w:rsidR="00000000" w:rsidRPr="00000000">
        <w:rPr>
          <w:sz w:val="20"/>
          <w:szCs w:val="20"/>
          <w:rtl w:val="0"/>
        </w:rPr>
        <w:t xml:space="preserve">Recientemente, la firma calificadora Fitch Ratings dio a conocer una nueva calificación de las finanzas del Distrito con base a la información que le suministrara la alcaldía, otorgándole el grado de BB positiva, con observaciones señaladas en el documento de evaluación que en resumen dicen: ”</w:t>
      </w:r>
      <w:r w:rsidDel="00000000" w:rsidR="00000000" w:rsidRPr="00000000">
        <w:rPr>
          <w:rFonts w:ascii="Quattrocento Sans" w:cs="Quattrocento Sans" w:eastAsia="Quattrocento Sans" w:hAnsi="Quattrocento Sans"/>
          <w:color w:val="242424"/>
          <w:sz w:val="20"/>
          <w:szCs w:val="20"/>
          <w:shd w:fill="f7f7f7" w:val="clear"/>
          <w:rtl w:val="0"/>
        </w:rPr>
        <w:t xml:space="preserve">La mejora en la perspectiva refleja avances en factores clave de riesgo, impulsados principalmente por un crecimiento sostenido en los ingresos tributarios, </w:t>
      </w:r>
      <w:r w:rsidDel="00000000" w:rsidR="00000000" w:rsidRPr="00000000">
        <w:rPr>
          <w:rFonts w:ascii="Quattrocento Sans" w:cs="Quattrocento Sans" w:eastAsia="Quattrocento Sans" w:hAnsi="Quattrocento Sans"/>
          <w:b w:val="0"/>
          <w:color w:val="242424"/>
          <w:sz w:val="20"/>
          <w:szCs w:val="20"/>
          <w:shd w:fill="f7f7f7" w:val="clear"/>
          <w:rtl w:val="0"/>
        </w:rPr>
        <w:t xml:space="preserve">especialmente en el Impuesto de Industria y Comercio( ICA), y el impuesto predial unificado.</w:t>
      </w:r>
      <w:r w:rsidDel="00000000" w:rsidR="00000000" w:rsidRPr="00000000">
        <w:rPr>
          <w:rFonts w:ascii="Quattrocento Sans" w:cs="Quattrocento Sans" w:eastAsia="Quattrocento Sans" w:hAnsi="Quattrocento Sans"/>
          <w:color w:val="242424"/>
          <w:sz w:val="20"/>
          <w:szCs w:val="20"/>
          <w:rtl w:val="0"/>
        </w:rPr>
        <w:t xml:space="preserve"> Fitch señaló que, si Barranquilla mantiene estables las tarifas del ICA y continúa con una gestión eficiente de sus ingresos propios, podría reducir su dependencia de las transferencias nacionales, fortaleciendo así su perfil financiero</w:t>
      </w:r>
      <w:r w:rsidDel="00000000" w:rsidR="00000000" w:rsidRPr="00000000">
        <w:rPr>
          <w:rFonts w:ascii="Quattrocento Sans" w:cs="Quattrocento Sans" w:eastAsia="Quattrocento Sans" w:hAnsi="Quattrocento Sans"/>
          <w:b w:val="1"/>
          <w:color w:val="242424"/>
          <w:sz w:val="20"/>
          <w:szCs w:val="20"/>
          <w:rtl w:val="0"/>
        </w:rPr>
        <w:t xml:space="preserve">. </w:t>
      </w:r>
      <w:r w:rsidDel="00000000" w:rsidR="00000000" w:rsidRPr="00000000">
        <w:rPr>
          <w:rFonts w:ascii="Quattrocento Sans" w:cs="Quattrocento Sans" w:eastAsia="Quattrocento Sans" w:hAnsi="Quattrocento Sans"/>
          <w:b w:val="0"/>
          <w:color w:val="242424"/>
          <w:sz w:val="20"/>
          <w:szCs w:val="20"/>
          <w:rtl w:val="0"/>
        </w:rPr>
        <w:t xml:space="preserve">Actualmente, las transferencias del Gobierno Nacional representan 51,9% de los ingresos operativos del Distrito (promedio 2020–2024), lo que limita la calificación en ese rubro.</w:t>
      </w:r>
      <w:r w:rsidDel="00000000" w:rsidR="00000000" w:rsidRPr="00000000">
        <w:rPr>
          <w:rFonts w:ascii="Quattrocento Sans" w:cs="Quattrocento Sans" w:eastAsia="Quattrocento Sans" w:hAnsi="Quattrocento Sans"/>
          <w:color w:val="242424"/>
          <w:sz w:val="20"/>
          <w:szCs w:val="20"/>
          <w:rtl w:val="0"/>
        </w:rPr>
        <w:t xml:space="preserve"> La calificadora también destacó que la ciudad cuenta con facultades para ajustar tarifas impositivas, aunque advirtió que la capacidad de pago de los contribuyentes sigue siendo moderada,</w:t>
      </w:r>
      <w:r w:rsidDel="00000000" w:rsidR="00000000" w:rsidRPr="00000000">
        <w:rPr>
          <w:rFonts w:ascii="Quattrocento Sans" w:cs="Quattrocento Sans" w:eastAsia="Quattrocento Sans" w:hAnsi="Quattrocento Sans"/>
          <w:b w:val="1"/>
          <w:color w:val="242424"/>
          <w:sz w:val="20"/>
          <w:szCs w:val="20"/>
          <w:rtl w:val="0"/>
        </w:rPr>
        <w:t xml:space="preserve"> </w:t>
      </w:r>
      <w:r w:rsidDel="00000000" w:rsidR="00000000" w:rsidRPr="00000000">
        <w:rPr>
          <w:rFonts w:ascii="Quattrocento Sans" w:cs="Quattrocento Sans" w:eastAsia="Quattrocento Sans" w:hAnsi="Quattrocento Sans"/>
          <w:b w:val="0"/>
          <w:color w:val="242424"/>
          <w:sz w:val="20"/>
          <w:szCs w:val="20"/>
          <w:rtl w:val="0"/>
        </w:rPr>
        <w:t xml:space="preserve">lo que podría limitar incrementos fiscales.</w:t>
      </w:r>
      <w:r w:rsidDel="00000000" w:rsidR="00000000" w:rsidRPr="00000000">
        <w:rPr>
          <w:rFonts w:ascii="Quattrocento Sans" w:cs="Quattrocento Sans" w:eastAsia="Quattrocento Sans" w:hAnsi="Quattrocento Sans"/>
          <w:color w:val="242424"/>
          <w:sz w:val="20"/>
          <w:szCs w:val="20"/>
          <w:shd w:fill="f7f7f7" w:val="clear"/>
          <w:rtl w:val="0"/>
        </w:rPr>
        <w:t xml:space="preserve"> Sin embargo, la agencia advirtió sobre déficits de caja no restringidos, que en 2024 ascendieron a $426.300 millones, equivalentes a 19,8% de los ingresos fiscales</w:t>
      </w:r>
      <w:r w:rsidDel="00000000" w:rsidR="00000000" w:rsidRPr="00000000">
        <w:rPr>
          <w:rFonts w:ascii="Quattrocento Sans" w:cs="Quattrocento Sans" w:eastAsia="Quattrocento Sans" w:hAnsi="Quattrocento Sans"/>
          <w:b w:val="1"/>
          <w:color w:val="242424"/>
          <w:sz w:val="20"/>
          <w:szCs w:val="20"/>
          <w:shd w:fill="f7f7f7" w:val="clear"/>
          <w:rtl w:val="0"/>
        </w:rPr>
        <w:t xml:space="preserve">,</w:t>
      </w:r>
      <w:r w:rsidDel="00000000" w:rsidR="00000000" w:rsidRPr="00000000">
        <w:rPr>
          <w:rFonts w:ascii="Quattrocento Sans" w:cs="Quattrocento Sans" w:eastAsia="Quattrocento Sans" w:hAnsi="Quattrocento Sans"/>
          <w:b w:val="0"/>
          <w:color w:val="242424"/>
          <w:sz w:val="20"/>
          <w:szCs w:val="20"/>
          <w:shd w:fill="f7f7f7" w:val="clear"/>
          <w:rtl w:val="0"/>
        </w:rPr>
        <w:t xml:space="preserve"> lo que representa un riesgo para la liquidez del Distrito y su sostenibilidad financiera a corto plazo. </w:t>
      </w:r>
      <w:r w:rsidDel="00000000" w:rsidR="00000000" w:rsidRPr="00000000">
        <w:rPr>
          <w:rFonts w:ascii="Roboto" w:cs="Roboto" w:eastAsia="Roboto" w:hAnsi="Roboto"/>
          <w:color w:val="4a4a4a"/>
          <w:sz w:val="20"/>
          <w:szCs w:val="20"/>
          <w:rtl w:val="0"/>
        </w:rPr>
        <w:t xml:space="preserve">Además, Fitch considera que el marco regulatorio colombiano obliga a los gobiernos locales y regionales a generar resultados operativos positivos y a mantener límites prudenciales para el endeudamiento. Sin embargo, el marco es menos claro en cuanto al tratamiento de obligaciones fuera de balance y la gestión de liquidez no restringida.</w:t>
      </w:r>
      <w:r w:rsidDel="00000000" w:rsidR="00000000" w:rsidRPr="00000000">
        <w:rPr>
          <w:rFonts w:ascii="Roboto" w:cs="Roboto" w:eastAsia="Roboto" w:hAnsi="Roboto"/>
          <w:b w:val="0"/>
          <w:color w:val="4a4a4a"/>
          <w:sz w:val="20"/>
          <w:szCs w:val="20"/>
          <w:rtl w:val="0"/>
        </w:rPr>
        <w:t xml:space="preserve"> El distrito refinanció alrededor de 40% de su deuda a largo plazo</w:t>
      </w:r>
      <w:r w:rsidDel="00000000" w:rsidR="00000000" w:rsidRPr="00000000">
        <w:rPr>
          <w:rFonts w:ascii="Roboto" w:cs="Roboto" w:eastAsia="Roboto" w:hAnsi="Roboto"/>
          <w:color w:val="4a4a4a"/>
          <w:sz w:val="20"/>
          <w:szCs w:val="20"/>
          <w:rtl w:val="0"/>
        </w:rPr>
        <w:t xml:space="preserve"> y, según la última revisión de calificación</w:t>
      </w:r>
      <w:r w:rsidDel="00000000" w:rsidR="00000000" w:rsidRPr="00000000">
        <w:rPr>
          <w:rFonts w:ascii="Roboto" w:cs="Roboto" w:eastAsia="Roboto" w:hAnsi="Roboto"/>
          <w:b w:val="1"/>
          <w:color w:val="4a4a4a"/>
          <w:sz w:val="20"/>
          <w:szCs w:val="20"/>
          <w:rtl w:val="0"/>
        </w:rPr>
        <w:t xml:space="preserve">, </w:t>
      </w:r>
      <w:r w:rsidDel="00000000" w:rsidR="00000000" w:rsidRPr="00000000">
        <w:rPr>
          <w:rFonts w:ascii="Roboto" w:cs="Roboto" w:eastAsia="Roboto" w:hAnsi="Roboto"/>
          <w:b w:val="0"/>
          <w:color w:val="4a4a4a"/>
          <w:sz w:val="20"/>
          <w:szCs w:val="20"/>
          <w:rtl w:val="0"/>
        </w:rPr>
        <w:t xml:space="preserve">Barranquilla tomará $2,9 billones en deuda para financiar el plan de desarrollo de la administración actual</w:t>
      </w:r>
      <w:r w:rsidDel="00000000" w:rsidR="00000000" w:rsidRPr="00000000">
        <w:rPr>
          <w:rFonts w:ascii="Roboto" w:cs="Roboto" w:eastAsia="Roboto" w:hAnsi="Roboto"/>
          <w:b w:val="1"/>
          <w:color w:val="4a4a4a"/>
          <w:sz w:val="20"/>
          <w:szCs w:val="20"/>
          <w:rtl w:val="0"/>
        </w:rPr>
        <w:t xml:space="preserve">,</w:t>
      </w:r>
      <w:r w:rsidDel="00000000" w:rsidR="00000000" w:rsidRPr="00000000">
        <w:rPr>
          <w:rFonts w:ascii="Roboto" w:cs="Roboto" w:eastAsia="Roboto" w:hAnsi="Roboto"/>
          <w:color w:val="4a4a4a"/>
          <w:sz w:val="20"/>
          <w:szCs w:val="20"/>
          <w:rtl w:val="0"/>
        </w:rPr>
        <w:t xml:space="preserve"> cuyo plazo terminará en 2027. Esta nueva deuda se obtendrá principalmente en mercados internacionales y será denomina en dólares estadounidenses. Fitch monitoreará la disponibilidad de alternativas de cobertura y sus términos y condiciones finales. En 2024, Barranquilla no desembolsó los montos que había pronosticado porque el Ministerio de Hacienda presentó más requisitos para su registro”. (tomado textualmente del informe)</w:t>
      </w:r>
    </w:p>
    <w:p w:rsidR="00000000" w:rsidDel="00000000" w:rsidP="00000000" w:rsidRDefault="00000000" w:rsidRPr="00000000" w14:paraId="00000004">
      <w:pPr>
        <w:rPr>
          <w:rFonts w:ascii="Roboto" w:cs="Roboto" w:eastAsia="Roboto" w:hAnsi="Roboto"/>
          <w:color w:val="4a4a4a"/>
          <w:sz w:val="20"/>
          <w:szCs w:val="20"/>
        </w:rPr>
      </w:pPr>
      <w:r w:rsidDel="00000000" w:rsidR="00000000" w:rsidRPr="00000000">
        <w:rPr>
          <w:rFonts w:ascii="Roboto" w:cs="Roboto" w:eastAsia="Roboto" w:hAnsi="Roboto"/>
          <w:b w:val="1"/>
          <w:color w:val="4a4a4a"/>
          <w:sz w:val="20"/>
          <w:szCs w:val="20"/>
          <w:rtl w:val="0"/>
        </w:rPr>
        <w:t xml:space="preserve">COMENTARIOS A CALIFICAIÓN DE FITCH RATINGS</w:t>
      </w:r>
      <w:r w:rsidDel="00000000" w:rsidR="00000000" w:rsidRPr="00000000">
        <w:rPr>
          <w:rtl w:val="0"/>
        </w:rPr>
      </w:r>
    </w:p>
    <w:p w:rsidR="00000000" w:rsidDel="00000000" w:rsidP="00000000" w:rsidRDefault="00000000" w:rsidRPr="00000000" w14:paraId="00000005">
      <w:pPr>
        <w:rPr>
          <w:rFonts w:ascii="Arial" w:cs="Arial" w:eastAsia="Arial" w:hAnsi="Arial"/>
          <w:color w:val="000000"/>
          <w:sz w:val="20"/>
          <w:szCs w:val="20"/>
        </w:rPr>
      </w:pPr>
      <w:r w:rsidDel="00000000" w:rsidR="00000000" w:rsidRPr="00000000">
        <w:rPr>
          <w:rFonts w:ascii="Roboto" w:cs="Roboto" w:eastAsia="Roboto" w:hAnsi="Roboto"/>
          <w:color w:val="4a4a4a"/>
          <w:sz w:val="20"/>
          <w:szCs w:val="20"/>
          <w:rtl w:val="0"/>
        </w:rPr>
        <w:t xml:space="preserve">Por supuesto, que el alcalde Alex Char, ante la calificación otorgada se iba a expresar, tal como lo hizo al afirmar. </w:t>
      </w:r>
      <w:r w:rsidDel="00000000" w:rsidR="00000000" w:rsidRPr="00000000">
        <w:rPr>
          <w:rFonts w:ascii="Arial" w:cs="Arial" w:eastAsia="Arial" w:hAnsi="Arial"/>
          <w:i w:val="1"/>
          <w:color w:val="000000"/>
          <w:sz w:val="20"/>
          <w:szCs w:val="20"/>
          <w:rtl w:val="0"/>
        </w:rPr>
        <w:t xml:space="preserve">“Gracias </w:t>
      </w:r>
      <w:r w:rsidDel="00000000" w:rsidR="00000000" w:rsidRPr="00000000">
        <w:rPr>
          <w:rFonts w:ascii="inherit" w:cs="inherit" w:eastAsia="inherit" w:hAnsi="inherit"/>
          <w:color w:val="000000"/>
          <w:sz w:val="20"/>
          <w:szCs w:val="20"/>
          <w:rtl w:val="0"/>
        </w:rPr>
        <w:t xml:space="preserve">al compromiso y la confianza de los barranquilleros con el pago de los impuestos y a la fuerte capacidad de pago de</w:t>
      </w:r>
      <w:r w:rsidDel="00000000" w:rsidR="00000000" w:rsidRPr="00000000">
        <w:rPr>
          <w:rFonts w:ascii="inherit" w:cs="inherit" w:eastAsia="inherit" w:hAnsi="inherit"/>
          <w:b w:val="1"/>
          <w:i w:val="1"/>
          <w:color w:val="000000"/>
          <w:sz w:val="20"/>
          <w:szCs w:val="20"/>
          <w:rtl w:val="0"/>
        </w:rPr>
        <w:t xml:space="preserve"> </w:t>
      </w:r>
      <w:r w:rsidDel="00000000" w:rsidR="00000000" w:rsidRPr="00000000">
        <w:rPr>
          <w:rFonts w:ascii="inherit" w:cs="inherit" w:eastAsia="inherit" w:hAnsi="inherit"/>
          <w:color w:val="000000"/>
          <w:sz w:val="20"/>
          <w:szCs w:val="20"/>
          <w:rtl w:val="0"/>
        </w:rPr>
        <w:t xml:space="preserve">nuestras obligaciones</w:t>
      </w:r>
      <w:r w:rsidDel="00000000" w:rsidR="00000000" w:rsidRPr="00000000">
        <w:rPr>
          <w:rFonts w:ascii="Arial" w:cs="Arial" w:eastAsia="Arial" w:hAnsi="Arial"/>
          <w:i w:val="1"/>
          <w:color w:val="000000"/>
          <w:sz w:val="20"/>
          <w:szCs w:val="20"/>
          <w:rtl w:val="0"/>
        </w:rPr>
        <w:t xml:space="preserve"> financieras, está reconocida calificadora reconoce que la ciudad está manejando bien su economía</w:t>
      </w:r>
      <w:r w:rsidDel="00000000" w:rsidR="00000000" w:rsidRPr="00000000">
        <w:rPr>
          <w:rFonts w:ascii="Arial" w:cs="Arial" w:eastAsia="Arial" w:hAnsi="Arial"/>
          <w:color w:val="000000"/>
          <w:sz w:val="20"/>
          <w:szCs w:val="20"/>
          <w:rtl w:val="0"/>
        </w:rPr>
        <w:t xml:space="preserve">”. Para el mandatario, este es el resultado de la credibilidad que por años se ha construido con el sector financiero y al cumplimiento de las inversiones en obras sociales para los barranquilleros”</w:t>
      </w:r>
    </w:p>
    <w:p w:rsidR="00000000" w:rsidDel="00000000" w:rsidP="00000000" w:rsidRDefault="00000000" w:rsidRPr="00000000" w14:paraId="00000006">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 hay duda alcalde, que uno de los atributos de sus administraciones desde el año 2008, fue saber identificar que el Distrito de Barranquilla tenía una capacidad de pago, que no se estaba explotando y que si se aumentaban los impuestos al mismo tiempo se incrementaba la capacidad de endeudamiento de la ciudad que estaba estancada por estar en ley 550. La gran virtud en su primera administración fue triplicar el impuesto predial y el ICA, de ahí que en un documento que publicamos en la época lo titulamos “EL MILAGRO FINANCIERO” fue aumentar los impuestos, y la otra endeudar a la ciudad hasta el punto donde se encuentra desde hace dos años sobre endeudada. Lo que llamamos la “prosperidad al debe” que algún día tenemos que pagarla, como le ha correspondido a usted en su tercera administración. Es producto de lo que sembró. Con una diferencia, usted recibió de la doctora Elsa Noguera y de Jaime Pumarejo una administración con recursos y programas de inversión ejecutados y otros por ejecutar. Hasta el punto que todo lo que usted inauguro y sigue inaugurando fue producto de la administración de Jaime Pumarejo, a excepción de la tapada del arroyo de Rebolo, que como premio en el primer aguacero se inundó todo el sector que anteriormente no se inundaba. Tampoco sabemos cuánto costo esa obra. En cambio, usted les entregó la administración a los respectivos alcaldes, pelada y sin el caldero para raspar.</w:t>
      </w:r>
    </w:p>
    <w:p w:rsidR="00000000" w:rsidDel="00000000" w:rsidP="00000000" w:rsidRDefault="00000000" w:rsidRPr="00000000" w14:paraId="00000007">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Hoy hacen lo mismo aumentar los impuestos, fue así como en diciembre 01 de 2023, el Concejo aprobó el Acuerdo No 0006, como un regalo del exalcalde Jaime Pumarejo a su jefe Alex Char, incrementándole a los barranquilleros el impuesto de alumbrado público y el de industria y comercio, en este último destacamos el aumento que se le hiciera al sector financiero al llevarlo al 30 x 1.000, lo que le representara al Distrito unos recursos adicionales para el año 2024, de por lo menos $100.000 millones.</w:t>
      </w:r>
    </w:p>
    <w:p w:rsidR="00000000" w:rsidDel="00000000" w:rsidP="00000000" w:rsidRDefault="00000000" w:rsidRPr="00000000" w14:paraId="00000008">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pesar del regalo que le dejo Pumarejo, a usted señor alcalde le pareció ese gesto de su antecesor ridículo e insuficiente por lo que le presento al Concejo un proyecto de acuerdo para aumentar el impuesto de industria y comercio a partir del año 2025, el cual fue aprobado con el No 0015 del 31 de octubre de 2024(el día de las brujas). En ese acuerdo se incrementan los montos a pagar por el ICA en el rubro alimentos en un 21.6% (del 7.4 al 9.0 por mil), en bebidas 25% (8 al 10), en cerveza 272% (11 al 30), en construcción de edificios el 172% (11 al 25), en distribución de gas 115% (11.6 al 25), en venta de combustibles 42.8% (7 al 10), los demás se mantienen iguales con relación al acuerdo No 0006. Lo que significa que el gravamen para el sector financiero sigue en el 30 x1.000.</w:t>
      </w:r>
    </w:p>
    <w:p w:rsidR="00000000" w:rsidDel="00000000" w:rsidP="00000000" w:rsidRDefault="00000000" w:rsidRPr="00000000" w14:paraId="0000000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El impuesto predial, no se incrementó en ninguno de los dos acuerdos referenciados, pero si se aplica los aumentos anuales que por ley hacen que para el año 2025, creemos fue del 4.5%, pero adicional a ese incremento a muchos propietarios le ajustaron el avaló catastral lo que al aplicarle la tarifa del acuerdo el monto a pagar aumenta al tener un mayor valor la propiedad.  La queja de muchos propietarios, que no es atendida por la Oficina de Catastro, se debe fundamentalmente a que el avalúo hoy en la mayoría de los casos está entre el 80 y 90 %, del valor comercial, cuando deberían estar en el 70%. Incluso hay casos puntuales donde el avalúo está por encima del valor real de la propiedad. Esta situación ha sido denunciada en año anteriores, por las empresas inmobiliarias y por supuesto por muchos propietarios que el avalúo de su propiedad registra un valor, que al poner en venta esa propiedad nadie le ofrece lo del avalúo. Son miles los hogares barranquilleros que están viviendo esa situación, sin que la Oficina de Catastro revise dichos casos, sin necesidad que el contribuyente tenga que impetrar un derecho de petición.</w:t>
      </w:r>
    </w:p>
    <w:p w:rsidR="00000000" w:rsidDel="00000000" w:rsidP="00000000" w:rsidRDefault="00000000" w:rsidRPr="00000000" w14:paraId="0000000A">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Tal como lo expresa en su justificación la firma Fitch Ratings, que, si bien se cuenta con libertad para incrementar los impuestos, no se puede olvidar que la gente tiene una capacidad de pago, e incrementarlo como se hizo con el acuerdo No 0015, es quitarle competitividad a la ciudad, que tanta falta nos hace.</w:t>
      </w:r>
    </w:p>
    <w:p w:rsidR="00000000" w:rsidDel="00000000" w:rsidP="00000000" w:rsidRDefault="00000000" w:rsidRPr="00000000" w14:paraId="0000000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Los ingresos alcalde, se han incrementado no por su gestión, sino porque los aumentaron de tal forma que para muchos se les dificulta pagarlos, tanto es así, que la cartera en el predial a 2023, es de $1.1 billón de pesos, y la del ICA es de $218.715 millones. Cifras que no dudamos se incrementaran estos dos años notablemente.</w:t>
      </w:r>
    </w:p>
    <w:p w:rsidR="00000000" w:rsidDel="00000000" w:rsidP="00000000" w:rsidRDefault="00000000" w:rsidRPr="00000000" w14:paraId="0000000C">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Para medir el impacto del aumento en los principales impuestos del Distrito analizaremos el comportamiento real a 31 de diciembre de los años 2023 y 2024, del presupuesto. Esto nos permitirá medir la eficiencia del Distrito en el recaudo de sus impuestos como también en la consecución de crédito interno y externo para el desarrollo de los programas propuestos en su plan de desarrollo “Barranquilla a Otro Nivel. Programas que se esperan financiar principalmente con un endeudamiento de $3 billones, autorizados por el Concejo el 26 de enero del 2024, mediante el acuerdo No 0001 de ese año, tres meses antes de que el mismo Concejo aprobará el plan de desarrollo del Distrito. Algo novedoso, por ello impetramos una demanda ante el Juez Administrativo Octavo ´por lo que estamos a espera de su fallo. Demanda que se hizo por considerar y demostrar en la demanda que la ciudad estaba sobre endeudada, por lo que no era conveniente seguir endeudándola. A finales de agosto u antes, es probable que tengamos los informes sobre viabilidad financiera que elaboran cada año la DAF y el DNP, y no dudamos que su resultado se centrará en señalar que el Distrito esta sobre endeudado y de continuar así, terminará en ley 550, que sería lo más grave que nos pueda pasar. Se extralimito el Concejo por no debatir con altura los temas de ciudad de frente con la comunidad. Causa de ese sobre endeudamiento, lo pagamos los ciudadanos con mayores impuestos, tal como lo hicieron que en un año el Concejo les aprobó dos (2) reformas al Estatuto Tributario del Distrito.</w:t>
      </w:r>
    </w:p>
    <w:p w:rsidR="00000000" w:rsidDel="00000000" w:rsidP="00000000" w:rsidRDefault="00000000" w:rsidRPr="00000000" w14:paraId="0000000D">
      <w:pPr>
        <w:jc w:val="center"/>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PRINCIPALES INGRESOS DEL DISTRITO DE BARRAQUILLA 2023-2024 EN MILLONES DE PESOS</w:t>
      </w:r>
    </w:p>
    <w:tbl>
      <w:tblPr>
        <w:tblStyle w:val="Table1"/>
        <w:tblW w:w="88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7"/>
        <w:gridCol w:w="2207"/>
        <w:gridCol w:w="2207"/>
        <w:gridCol w:w="2207"/>
        <w:tblGridChange w:id="0">
          <w:tblGrid>
            <w:gridCol w:w="2207"/>
            <w:gridCol w:w="2207"/>
            <w:gridCol w:w="2207"/>
            <w:gridCol w:w="2207"/>
          </w:tblGrid>
        </w:tblGridChange>
      </w:tblGrid>
      <w:tr>
        <w:trPr>
          <w:cantSplit w:val="0"/>
          <w:tblHeader w:val="0"/>
        </w:trPr>
        <w:tc>
          <w:tcPr/>
          <w:p w:rsidR="00000000" w:rsidDel="00000000" w:rsidP="00000000" w:rsidRDefault="00000000" w:rsidRPr="00000000" w14:paraId="0000000E">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CONCEPTO</w:t>
            </w:r>
          </w:p>
        </w:tc>
        <w:tc>
          <w:tcPr/>
          <w:p w:rsidR="00000000" w:rsidDel="00000000" w:rsidP="00000000" w:rsidRDefault="00000000" w:rsidRPr="00000000" w14:paraId="0000000F">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RECAUDO 2023</w:t>
            </w:r>
          </w:p>
        </w:tc>
        <w:tc>
          <w:tcPr/>
          <w:p w:rsidR="00000000" w:rsidDel="00000000" w:rsidP="00000000" w:rsidRDefault="00000000" w:rsidRPr="00000000" w14:paraId="00000010">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RECAUDO 2024</w:t>
            </w:r>
          </w:p>
        </w:tc>
        <w:tc>
          <w:tcPr/>
          <w:p w:rsidR="00000000" w:rsidDel="00000000" w:rsidP="00000000" w:rsidRDefault="00000000" w:rsidRPr="00000000" w14:paraId="00000011">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VARIACIÓN 24/23</w:t>
            </w:r>
          </w:p>
        </w:tc>
      </w:tr>
      <w:tr>
        <w:trPr>
          <w:cantSplit w:val="0"/>
          <w:tblHeader w:val="0"/>
        </w:trPr>
        <w:tc>
          <w:tcPr/>
          <w:p w:rsidR="00000000" w:rsidDel="00000000" w:rsidP="00000000" w:rsidRDefault="00000000" w:rsidRPr="00000000" w14:paraId="00000012">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TOTAL, INGRESO</w:t>
            </w:r>
          </w:p>
        </w:tc>
        <w:tc>
          <w:tcPr/>
          <w:p w:rsidR="00000000" w:rsidDel="00000000" w:rsidP="00000000" w:rsidRDefault="00000000" w:rsidRPr="00000000" w14:paraId="00000013">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3.518.697</w:t>
            </w:r>
          </w:p>
        </w:tc>
        <w:tc>
          <w:tcPr/>
          <w:p w:rsidR="00000000" w:rsidDel="00000000" w:rsidP="00000000" w:rsidRDefault="00000000" w:rsidRPr="00000000" w14:paraId="00000014">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4.070.522</w:t>
            </w:r>
          </w:p>
        </w:tc>
        <w:tc>
          <w:tcPr/>
          <w:p w:rsidR="00000000" w:rsidDel="00000000" w:rsidP="00000000" w:rsidRDefault="00000000" w:rsidRPr="00000000" w14:paraId="00000015">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15.7</w:t>
            </w:r>
          </w:p>
        </w:tc>
      </w:tr>
      <w:tr>
        <w:trPr>
          <w:cantSplit w:val="0"/>
          <w:tblHeader w:val="0"/>
        </w:trPr>
        <w:tc>
          <w:tcPr/>
          <w:p w:rsidR="00000000" w:rsidDel="00000000" w:rsidP="00000000" w:rsidRDefault="00000000" w:rsidRPr="00000000" w14:paraId="00000016">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PREDIAL *</w:t>
            </w:r>
          </w:p>
        </w:tc>
        <w:tc>
          <w:tcPr/>
          <w:p w:rsidR="00000000" w:rsidDel="00000000" w:rsidP="00000000" w:rsidRDefault="00000000" w:rsidRPr="00000000" w14:paraId="00000017">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349.787</w:t>
            </w:r>
          </w:p>
        </w:tc>
        <w:tc>
          <w:tcPr/>
          <w:p w:rsidR="00000000" w:rsidDel="00000000" w:rsidP="00000000" w:rsidRDefault="00000000" w:rsidRPr="00000000" w14:paraId="00000018">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426.142</w:t>
            </w:r>
          </w:p>
        </w:tc>
        <w:tc>
          <w:tcPr/>
          <w:p w:rsidR="00000000" w:rsidDel="00000000" w:rsidP="00000000" w:rsidRDefault="00000000" w:rsidRPr="00000000" w14:paraId="00000019">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21.8</w:t>
            </w:r>
          </w:p>
        </w:tc>
      </w:tr>
      <w:tr>
        <w:trPr>
          <w:cantSplit w:val="0"/>
          <w:tblHeader w:val="0"/>
        </w:trPr>
        <w:tc>
          <w:tcPr/>
          <w:p w:rsidR="00000000" w:rsidDel="00000000" w:rsidP="00000000" w:rsidRDefault="00000000" w:rsidRPr="00000000" w14:paraId="0000001A">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ICA</w:t>
            </w:r>
          </w:p>
        </w:tc>
        <w:tc>
          <w:tcPr/>
          <w:p w:rsidR="00000000" w:rsidDel="00000000" w:rsidP="00000000" w:rsidRDefault="00000000" w:rsidRPr="00000000" w14:paraId="0000001B">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696.123</w:t>
            </w:r>
          </w:p>
        </w:tc>
        <w:tc>
          <w:tcPr/>
          <w:p w:rsidR="00000000" w:rsidDel="00000000" w:rsidP="00000000" w:rsidRDefault="00000000" w:rsidRPr="00000000" w14:paraId="0000001C">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962.662</w:t>
            </w:r>
          </w:p>
        </w:tc>
        <w:tc>
          <w:tcPr/>
          <w:p w:rsidR="00000000" w:rsidDel="00000000" w:rsidP="00000000" w:rsidRDefault="00000000" w:rsidRPr="00000000" w14:paraId="0000001D">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38.3</w:t>
            </w:r>
          </w:p>
        </w:tc>
      </w:tr>
      <w:tr>
        <w:trPr>
          <w:cantSplit w:val="0"/>
          <w:tblHeader w:val="0"/>
        </w:trPr>
        <w:tc>
          <w:tcPr/>
          <w:p w:rsidR="00000000" w:rsidDel="00000000" w:rsidP="00000000" w:rsidRDefault="00000000" w:rsidRPr="00000000" w14:paraId="0000001E">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DELINEACIÓN</w:t>
            </w:r>
          </w:p>
        </w:tc>
        <w:tc>
          <w:tcPr/>
          <w:p w:rsidR="00000000" w:rsidDel="00000000" w:rsidP="00000000" w:rsidRDefault="00000000" w:rsidRPr="00000000" w14:paraId="0000001F">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31.112</w:t>
            </w:r>
          </w:p>
        </w:tc>
        <w:tc>
          <w:tcPr/>
          <w:p w:rsidR="00000000" w:rsidDel="00000000" w:rsidP="00000000" w:rsidRDefault="00000000" w:rsidRPr="00000000" w14:paraId="00000020">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27.124</w:t>
            </w:r>
          </w:p>
        </w:tc>
        <w:tc>
          <w:tcPr/>
          <w:p w:rsidR="00000000" w:rsidDel="00000000" w:rsidP="00000000" w:rsidRDefault="00000000" w:rsidRPr="00000000" w14:paraId="00000021">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(12.9)</w:t>
            </w:r>
          </w:p>
        </w:tc>
      </w:tr>
      <w:tr>
        <w:trPr>
          <w:cantSplit w:val="0"/>
          <w:tblHeader w:val="0"/>
        </w:trPr>
        <w:tc>
          <w:tcPr/>
          <w:p w:rsidR="00000000" w:rsidDel="00000000" w:rsidP="00000000" w:rsidRDefault="00000000" w:rsidRPr="00000000" w14:paraId="00000022">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ESPEC DEPORTE</w:t>
            </w:r>
          </w:p>
        </w:tc>
        <w:tc>
          <w:tcPr/>
          <w:p w:rsidR="00000000" w:rsidDel="00000000" w:rsidP="00000000" w:rsidRDefault="00000000" w:rsidRPr="00000000" w14:paraId="00000023">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1.327</w:t>
            </w:r>
          </w:p>
        </w:tc>
        <w:tc>
          <w:tcPr/>
          <w:p w:rsidR="00000000" w:rsidDel="00000000" w:rsidP="00000000" w:rsidRDefault="00000000" w:rsidRPr="00000000" w14:paraId="00000024">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2.295</w:t>
            </w:r>
          </w:p>
        </w:tc>
        <w:tc>
          <w:tcPr/>
          <w:p w:rsidR="00000000" w:rsidDel="00000000" w:rsidP="00000000" w:rsidRDefault="00000000" w:rsidRPr="00000000" w14:paraId="00000025">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72.9</w:t>
            </w:r>
          </w:p>
        </w:tc>
      </w:tr>
      <w:tr>
        <w:trPr>
          <w:cantSplit w:val="0"/>
          <w:tblHeader w:val="0"/>
        </w:trPr>
        <w:tc>
          <w:tcPr/>
          <w:p w:rsidR="00000000" w:rsidDel="00000000" w:rsidP="00000000" w:rsidRDefault="00000000" w:rsidRPr="00000000" w14:paraId="00000026">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ALUMBRADO PU</w:t>
            </w:r>
          </w:p>
        </w:tc>
        <w:tc>
          <w:tcPr/>
          <w:p w:rsidR="00000000" w:rsidDel="00000000" w:rsidP="00000000" w:rsidRDefault="00000000" w:rsidRPr="00000000" w14:paraId="00000027">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99.260</w:t>
            </w:r>
          </w:p>
        </w:tc>
        <w:tc>
          <w:tcPr/>
          <w:p w:rsidR="00000000" w:rsidDel="00000000" w:rsidP="00000000" w:rsidRDefault="00000000" w:rsidRPr="00000000" w14:paraId="00000028">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115.664</w:t>
            </w:r>
          </w:p>
        </w:tc>
        <w:tc>
          <w:tcPr/>
          <w:p w:rsidR="00000000" w:rsidDel="00000000" w:rsidP="00000000" w:rsidRDefault="00000000" w:rsidRPr="00000000" w14:paraId="00000029">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16.5</w:t>
            </w:r>
          </w:p>
        </w:tc>
      </w:tr>
      <w:tr>
        <w:trPr>
          <w:cantSplit w:val="0"/>
          <w:tblHeader w:val="0"/>
        </w:trPr>
        <w:tc>
          <w:tcPr/>
          <w:p w:rsidR="00000000" w:rsidDel="00000000" w:rsidP="00000000" w:rsidRDefault="00000000" w:rsidRPr="00000000" w14:paraId="0000002A">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PEAJE</w:t>
            </w:r>
          </w:p>
        </w:tc>
        <w:tc>
          <w:tcPr/>
          <w:p w:rsidR="00000000" w:rsidDel="00000000" w:rsidP="00000000" w:rsidRDefault="00000000" w:rsidRPr="00000000" w14:paraId="0000002B">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27.672</w:t>
            </w:r>
          </w:p>
        </w:tc>
        <w:tc>
          <w:tcPr/>
          <w:p w:rsidR="00000000" w:rsidDel="00000000" w:rsidP="00000000" w:rsidRDefault="00000000" w:rsidRPr="00000000" w14:paraId="0000002C">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31.284</w:t>
            </w:r>
          </w:p>
        </w:tc>
        <w:tc>
          <w:tcPr/>
          <w:p w:rsidR="00000000" w:rsidDel="00000000" w:rsidP="00000000" w:rsidRDefault="00000000" w:rsidRPr="00000000" w14:paraId="0000002D">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13.0</w:t>
            </w:r>
          </w:p>
        </w:tc>
      </w:tr>
      <w:tr>
        <w:trPr>
          <w:cantSplit w:val="0"/>
          <w:tblHeader w:val="0"/>
        </w:trPr>
        <w:tc>
          <w:tcPr/>
          <w:p w:rsidR="00000000" w:rsidDel="00000000" w:rsidP="00000000" w:rsidRDefault="00000000" w:rsidRPr="00000000" w14:paraId="0000002E">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CONTRIB PORTUA</w:t>
            </w:r>
          </w:p>
        </w:tc>
        <w:tc>
          <w:tcPr/>
          <w:p w:rsidR="00000000" w:rsidDel="00000000" w:rsidP="00000000" w:rsidRDefault="00000000" w:rsidRPr="00000000" w14:paraId="0000002F">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5.218</w:t>
            </w:r>
          </w:p>
        </w:tc>
        <w:tc>
          <w:tcPr/>
          <w:p w:rsidR="00000000" w:rsidDel="00000000" w:rsidP="00000000" w:rsidRDefault="00000000" w:rsidRPr="00000000" w14:paraId="00000030">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13.062</w:t>
            </w:r>
          </w:p>
        </w:tc>
        <w:tc>
          <w:tcPr/>
          <w:p w:rsidR="00000000" w:rsidDel="00000000" w:rsidP="00000000" w:rsidRDefault="00000000" w:rsidRPr="00000000" w14:paraId="00000031">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150.0</w:t>
            </w:r>
          </w:p>
        </w:tc>
      </w:tr>
      <w:tr>
        <w:trPr>
          <w:cantSplit w:val="0"/>
          <w:tblHeader w:val="0"/>
        </w:trPr>
        <w:tc>
          <w:tcPr/>
          <w:p w:rsidR="00000000" w:rsidDel="00000000" w:rsidP="00000000" w:rsidRDefault="00000000" w:rsidRPr="00000000" w14:paraId="00000032">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CREDITO FINDET</w:t>
            </w:r>
          </w:p>
        </w:tc>
        <w:tc>
          <w:tcPr/>
          <w:p w:rsidR="00000000" w:rsidDel="00000000" w:rsidP="00000000" w:rsidRDefault="00000000" w:rsidRPr="00000000" w14:paraId="00000033">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0</w:t>
            </w:r>
          </w:p>
        </w:tc>
        <w:tc>
          <w:tcPr/>
          <w:p w:rsidR="00000000" w:rsidDel="00000000" w:rsidP="00000000" w:rsidRDefault="00000000" w:rsidRPr="00000000" w14:paraId="00000034">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38.250</w:t>
            </w:r>
          </w:p>
        </w:tc>
        <w:tc>
          <w:tcPr/>
          <w:p w:rsidR="00000000" w:rsidDel="00000000" w:rsidP="00000000" w:rsidRDefault="00000000" w:rsidRPr="00000000" w14:paraId="00000035">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 ----</w:t>
            </w:r>
          </w:p>
        </w:tc>
      </w:tr>
      <w:tr>
        <w:trPr>
          <w:cantSplit w:val="0"/>
          <w:tblHeader w:val="0"/>
        </w:trPr>
        <w:tc>
          <w:tcPr/>
          <w:p w:rsidR="00000000" w:rsidDel="00000000" w:rsidP="00000000" w:rsidRDefault="00000000" w:rsidRPr="00000000" w14:paraId="00000036">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CREDITO INTERN</w:t>
            </w:r>
          </w:p>
        </w:tc>
        <w:tc>
          <w:tcPr/>
          <w:p w:rsidR="00000000" w:rsidDel="00000000" w:rsidP="00000000" w:rsidRDefault="00000000" w:rsidRPr="00000000" w14:paraId="00000037">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0</w:t>
            </w:r>
          </w:p>
        </w:tc>
        <w:tc>
          <w:tcPr/>
          <w:p w:rsidR="00000000" w:rsidDel="00000000" w:rsidP="00000000" w:rsidRDefault="00000000" w:rsidRPr="00000000" w14:paraId="00000038">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0</w:t>
            </w:r>
          </w:p>
        </w:tc>
        <w:tc>
          <w:tcPr/>
          <w:p w:rsidR="00000000" w:rsidDel="00000000" w:rsidP="00000000" w:rsidRDefault="00000000" w:rsidRPr="00000000" w14:paraId="00000039">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w:t>
            </w:r>
          </w:p>
        </w:tc>
      </w:tr>
      <w:tr>
        <w:trPr>
          <w:cantSplit w:val="0"/>
          <w:tblHeader w:val="0"/>
        </w:trPr>
        <w:tc>
          <w:tcPr/>
          <w:p w:rsidR="00000000" w:rsidDel="00000000" w:rsidP="00000000" w:rsidRDefault="00000000" w:rsidRPr="00000000" w14:paraId="0000003A">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CREDITO BID</w:t>
            </w:r>
          </w:p>
        </w:tc>
        <w:tc>
          <w:tcPr/>
          <w:p w:rsidR="00000000" w:rsidDel="00000000" w:rsidP="00000000" w:rsidRDefault="00000000" w:rsidRPr="00000000" w14:paraId="0000003B">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0</w:t>
            </w:r>
          </w:p>
        </w:tc>
        <w:tc>
          <w:tcPr/>
          <w:p w:rsidR="00000000" w:rsidDel="00000000" w:rsidP="00000000" w:rsidRDefault="00000000" w:rsidRPr="00000000" w14:paraId="0000003C">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253.265</w:t>
            </w:r>
          </w:p>
        </w:tc>
        <w:tc>
          <w:tcPr/>
          <w:p w:rsidR="00000000" w:rsidDel="00000000" w:rsidP="00000000" w:rsidRDefault="00000000" w:rsidRPr="00000000" w14:paraId="0000003D">
            <w:pPr>
              <w:rPr>
                <w:rFonts w:ascii="Arial" w:cs="Arial" w:eastAsia="Arial" w:hAnsi="Arial"/>
                <w:color w:val="000000"/>
                <w:sz w:val="20"/>
                <w:szCs w:val="20"/>
                <w:u w:val="single"/>
              </w:rPr>
            </w:pPr>
            <w:r w:rsidDel="00000000" w:rsidR="00000000" w:rsidRPr="00000000">
              <w:rPr>
                <w:rFonts w:ascii="Arial" w:cs="Arial" w:eastAsia="Arial" w:hAnsi="Arial"/>
                <w:color w:val="000000"/>
                <w:sz w:val="20"/>
                <w:szCs w:val="20"/>
                <w:u w:val="single"/>
                <w:rtl w:val="0"/>
              </w:rPr>
              <w:t xml:space="preserve">-------</w:t>
            </w:r>
          </w:p>
        </w:tc>
      </w:tr>
    </w:tbl>
    <w:p w:rsidR="00000000" w:rsidDel="00000000" w:rsidP="00000000" w:rsidRDefault="00000000" w:rsidRPr="00000000" w14:paraId="0000003E">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Fuente: Ejecución presupuestal Distrito de Barranquilla * Predial vigencia actual no incluye vigencias anteriores, ni sobre tasa ambiental.</w:t>
      </w:r>
    </w:p>
    <w:p w:rsidR="00000000" w:rsidDel="00000000" w:rsidP="00000000" w:rsidRDefault="00000000" w:rsidRPr="00000000" w14:paraId="0000003F">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Como pueden apreciar, el incremento en los impuestos fue altos, especialmente el del ICA 38.3%, parece que se les fue la mano a los señores concejales y por supuesto al alcalde Alex Char. Casualmente el alcalde no solicito aumento para los impuestos de los negocios de su familia el comercio al por mayor y la venta de alimentos, les mantuvo la misma tasa. Es bueno aclarar que, en el año 2024, se recupero cartera por el predial en $143.953 millones, mientras en el año anterior se recuperaron $60.680 millones. El aumento del 21.8%, en el predial como lo expresamos anteriormente, es producto del incremento anual por ley y por mayor valor del avalúo, la tarifa se ha mantenido todos estos últimos años. Otra explicación podría ser por aumento de los contribuyentes, a raíz de denuncias que se han hecho desde hace años sobre irregularidades en la base de datos, que hayan corregido. Siguen muchas propiedades no pagando al no estar registradas o pagando un menor valor al que deben pagar. Es hora señores organismos de control de hacerle una auditoria forense a la Gerencia de impuestos del Distrito y a la Oficina de Catastro. Desde los tiempos del Frente Amplio Por la Defesa de Barranquilla y de Cívicos en Acción se vienen haciendo estas denuncias sin resultado alguno por parte de los organismos de control.</w:t>
      </w:r>
    </w:p>
    <w:p w:rsidR="00000000" w:rsidDel="00000000" w:rsidP="00000000" w:rsidRDefault="00000000" w:rsidRPr="00000000" w14:paraId="00000040">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¿PAGA EL JUNIOR IMPUESTOS Y ARRIENDOS?</w:t>
      </w:r>
    </w:p>
    <w:p w:rsidR="00000000" w:rsidDel="00000000" w:rsidP="00000000" w:rsidRDefault="00000000" w:rsidRPr="00000000" w14:paraId="00000041">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Incluí el impuesto de espectáculos públicos al deporte, porque el recaudo de ese impuesto que es el 10%, del valor de la entrada no refleja las taquillas del Junior, del beisbol y el basquetbol. Estas tres actividades deportivas tampoco pagan arriendo por la utilización de los tres estadios que son de los barranquilleros, pero que están solo al servicio de sus equipos profesionales. Por ninguna parte del presupuesto registran el pago del arriendo, que entre otras cosas debe contar con un contrato debidamente legalizado, que normalmente se pacta por un porcentaje de la taquilla.</w:t>
      </w:r>
    </w:p>
    <w:p w:rsidR="00000000" w:rsidDel="00000000" w:rsidP="00000000" w:rsidRDefault="00000000" w:rsidRPr="00000000" w14:paraId="00000042">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El otro impuesto que se ha denunciado es el de delineamiento urbano, los recaudos disminuyeron en el 2024, en un 12.9%, sin ningún tipo de explicación. En un derecho de petición que le hiciéramos al Distrito demostramos que lo recaudado por ese concepto no concuerda con el valor de las propiedades que se han construido en la ciudad en los últimos 16 años. En este lapso de tiempo solo han recaudado $204.570 millones, lo que significa que todas las propiedades construidas en ese tiempo en la ciudad solo valen $6.8 billones. ¿Eso vale Barranquilla en estos 16 años? Ver “No cuadran las cuentas en delineamiento urbano”</w:t>
      </w:r>
    </w:p>
    <w:p w:rsidR="00000000" w:rsidDel="00000000" w:rsidP="00000000" w:rsidRDefault="00000000" w:rsidRPr="00000000" w14:paraId="00000043">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Otro hecho que denunciamos para que las autoridades investiguen, es la construcción del intercambiador vial entre Alameda del Río y Miramar. La obra se hace con la plata que debe pagar Amarilo por el impuesto de delineamiento, que es un impuesto distrital de libre destinación. Creemos que el beneficiario directo de esa obra, como la de la ampliación de la carrera 43 hasta la Circunvalar son obras que deberían pagar los constructores y no los barranquilleros con nuestros impuestos. Me gustaría escuchar al señor Personero Distrital cuya función principal es proteger el patrimonio de los barranquilleros sobre este caso y los otros denunciados en este documento.</w:t>
      </w:r>
    </w:p>
    <w:p w:rsidR="00000000" w:rsidDel="00000000" w:rsidP="00000000" w:rsidRDefault="00000000" w:rsidRPr="00000000" w14:paraId="0000004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Por último, el Distrito recauda cero pesos, por la plusvalía. En estos 16 años, se gastaron varios millones de pesos en estudios para cobrarla y como que el resultado de los estudios arrojó, que era mejor no cobrarla porque había que enriquecer a los dueños de la tierra en la ciudad, que tienen nombres propios: Argos, familia Char y grandes urbanizadores y constructores. </w:t>
      </w:r>
    </w:p>
    <w:p w:rsidR="00000000" w:rsidDel="00000000" w:rsidP="00000000" w:rsidRDefault="00000000" w:rsidRPr="00000000" w14:paraId="00000045">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 manejaran bien: el predial, el impuesto de delineamiento, el ICA y cobraran la plusvalía los ingresos serían superiores a los recaudos de hoy. Mayores ingresos le daría capacidad de pago y de endeudamiento, y por supuesto no hubiera necesidad de aumentar la tasa impositiva todos los años. La ciudad para fuera competitiva.</w:t>
      </w:r>
    </w:p>
    <w:p w:rsidR="00000000" w:rsidDel="00000000" w:rsidP="00000000" w:rsidRDefault="00000000" w:rsidRPr="00000000" w14:paraId="00000046">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La realidad, hoy es que estamos sobre endeudados, con alto déficit presupuestal y con problemas de liquidez, un déficit de caja de $426.300 millones. lo dice la misma firma calificadora y la DAF. Seguimos dependiendo del SGP en un 52%. Lo que llama la atención, es que, a pesar de las observaciones de Fitch, decide darle una calificación positiva. Eso es lo que no cuadra.</w:t>
      </w:r>
    </w:p>
    <w:p w:rsidR="00000000" w:rsidDel="00000000" w:rsidP="00000000" w:rsidRDefault="00000000" w:rsidRPr="00000000" w14:paraId="00000047">
      <w:pPr>
        <w:jc w:val="cente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ALCALDE LAS GRACIAS DEBE DARSELA AL PRESIDENTE GUSTAVO PETRO</w:t>
      </w:r>
    </w:p>
    <w:p w:rsidR="00000000" w:rsidDel="00000000" w:rsidP="00000000" w:rsidRDefault="00000000" w:rsidRPr="00000000" w14:paraId="00000048">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Alcalde Alex Char, hoy en un medio de comunicación de la ciudad usted le da gracias al presidente Iván Duque, por los aportes hechos en su gobierno para el proyecto “Biodiverciudad y Equidad Urbana de Barranquilla” conocido como Ciénaga de Mallorquín, Puerto Mocho y plaza del mercado de Barranquillita “El Gran Bazar”. Lo cierto es que el alcalde Jaime Pumarejo le solicitó autorización al gobierno del presidente Duque desde el año 2021, para contratar un crédito externo con el BID por US$100 millones, y además contar con el aval del Ministerio de Hacienda. El gobierno de Duque como el Ministerio de Hacienda, demoraron en gestionar un CONPES y otorgar el aval, tanto fue así que el CONPES 4107 lo hizo Duque el 5 de agosto del 2022, dos días antes de entregar el cargo de presidente. Las trabas de la DAF, fueron grandes para otorgar el aval, no se pudo en el gobierno Duque. Ante esta realidad en un artículo que publicamos en varios medios de comunicación como Tela Tiro Plena, se lo hicimos llegar a la DAF para su conocimiento, en el cual le reclamábamos que siendo su posición de los últimos 16 años, positiva con Barranquilla ahorra venían a alegar que la ciudad estaba endeuda cuando fue la misma DAF,la que autorizo eso endeudamientos, y que ante un crédito con unas condiciones especiales para la ciudad, se lo iban a negar, a pesar de que apenas estábamos saliendo de la pandemia. (ver Ministerio de Hacienda Frena el Desarrollo Urbano de Barraquilla)</w:t>
      </w:r>
    </w:p>
    <w:p w:rsidR="00000000" w:rsidDel="00000000" w:rsidP="00000000" w:rsidRDefault="00000000" w:rsidRPr="00000000" w14:paraId="00000049">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Ante este hecho, tan latente y con un CONPES aprobado decidió el gobierno del presidente Petro, no frenar el desarrollo urbano de Barranquilla, impartiendo la orden para que la DAF, cambiará de opinión y emitiera concepto favorable y el ministro José Antonio Ocampo expidiera la resolución autorizando el endeudamiento. El ministro Ocampo expidió la Resolución 2371 del 8 de septiembre del año 2022. Con esa resolución, el alcalde Jaime Pumarejo consiguió los desembolsos del préstamo de los US$100 millones, en el año 2022 y 2023, y con esos recursos, más los que se habían conseguido con el DNP en el “Plan Atlántico” se empezaron las obras en la Ciénaga de Mallorquín, Puerto Mocho, El Gran Bazar, las obras del caño de la Ahuyama y otras que se me escapan.</w:t>
      </w:r>
    </w:p>
    <w:p w:rsidR="00000000" w:rsidDel="00000000" w:rsidP="00000000" w:rsidRDefault="00000000" w:rsidRPr="00000000" w14:paraId="0000004A">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Es bueno aclarar que el gobierno del presidente Petro respecto el llamado “Plan Atlántico” que se había firmado en el gobierno anterior. Los recursos que faltaban fueron girados para la financiación del proyecto del Caño de la “Ahuyama” por $105.000 millones, proyecto que ha debido terminarse hace un año, que fue contratado a dedo como casi todas las contrataciones EDUBAR y de Puerta de Oro.</w:t>
      </w:r>
    </w:p>
    <w:p w:rsidR="00000000" w:rsidDel="00000000" w:rsidP="00000000" w:rsidRDefault="00000000" w:rsidRPr="00000000" w14:paraId="0000004B">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Alcalde, preocúpese por el proyecto del caño de la ahuyama, ese dinero no se puede perder. Hable con la doctora Críales, que le rinda cuenta, ya que ella no le rinde cuenta a la comunidad afectada con ese proyecto. Lo habitantes del sector están cansados de tanta demora en la ejecución de esa obra, no creo que haya necesidad de que sus habitantes se tomen la alcaldía para que puedan terminar esa obra. No se le olvido que esos recursos son de todos los colombianos, y por ello son sagrados. Lo habitantes del Suroriente encabezados por la Asociación Don Bosco, están cansados de promesas falsas, requieren de usted acción inmediata. Es plata tenga la seguridad que no se puede perder, su administración tiene que responder por ella.</w:t>
      </w:r>
    </w:p>
    <w:p w:rsidR="00000000" w:rsidDel="00000000" w:rsidP="00000000" w:rsidRDefault="00000000" w:rsidRPr="00000000" w14:paraId="0000004C">
      <w:pPr>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INFORME SOBRE SITUCIÓN FINANCIERA BARRANQUILLA JUNIO 2024</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ffffff"/>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En su informe la DAF señala lo siguiente:</w:t>
      </w:r>
      <w:r w:rsidDel="00000000" w:rsidR="00000000" w:rsidRPr="00000000">
        <w:rPr>
          <w:rFonts w:ascii="Verdana" w:cs="Verdana" w:eastAsia="Verdana" w:hAnsi="Verdana"/>
          <w:b w:val="1"/>
          <w:i w:val="0"/>
          <w:smallCaps w:val="0"/>
          <w:strike w:val="0"/>
          <w:color w:val="ffffff"/>
          <w:sz w:val="20"/>
          <w:szCs w:val="20"/>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585858"/>
          <w:sz w:val="20"/>
          <w:szCs w:val="20"/>
          <w:u w:val="none"/>
          <w:shd w:fill="auto" w:val="clear"/>
          <w:vertAlign w:val="baseline"/>
          <w:rtl w:val="0"/>
        </w:rPr>
        <w:t xml:space="preserve">1.)</w:t>
      </w:r>
      <w:r w:rsidDel="00000000" w:rsidR="00000000" w:rsidRPr="00000000">
        <w:rPr>
          <w:rFonts w:ascii="Verdana" w:cs="Verdana" w:eastAsia="Verdana" w:hAnsi="Verdana"/>
          <w:b w:val="1"/>
          <w:i w:val="0"/>
          <w:smallCaps w:val="0"/>
          <w:strike w:val="0"/>
          <w:color w:val="ffffff"/>
          <w:sz w:val="20"/>
          <w:szCs w:val="20"/>
          <w:u w:val="none"/>
          <w:shd w:fill="auto" w:val="clear"/>
          <w:vertAlign w:val="baseline"/>
          <w:rtl w:val="0"/>
        </w:rPr>
        <w:t xml:space="preserve">1.</w:t>
      </w:r>
      <w:r w:rsidDel="00000000" w:rsidR="00000000" w:rsidRPr="00000000">
        <w:rPr>
          <w:rFonts w:ascii="Verdana" w:cs="Verdana" w:eastAsia="Verdana" w:hAnsi="Verdana"/>
          <w:b w:val="0"/>
          <w:i w:val="0"/>
          <w:smallCaps w:val="0"/>
          <w:strike w:val="0"/>
          <w:color w:val="585858"/>
          <w:sz w:val="20"/>
          <w:szCs w:val="20"/>
          <w:u w:val="none"/>
          <w:shd w:fill="auto" w:val="clear"/>
          <w:vertAlign w:val="baseline"/>
          <w:rtl w:val="0"/>
        </w:rPr>
        <w:t xml:space="preserve"> Los principales riesgos financieros que enfrenta el Distrito están asociados al incremento en el nivel de endeudamiento, dado que de acuerdo con las estimaciones realizadas superó los límites establecidos para el indicador de sostenibilidad de la deuda. Así mismo, en la adopción de mecanismos de control y análisis sobre instrumentos de planeación y programación financiera que mitiguen incrementos en los recursos del balance o situaciones deficitarias financiadas con desembolsos de crédito. </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585858"/>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Resultado fiscal.</w:t>
      </w:r>
      <w:r w:rsidDel="00000000" w:rsidR="00000000" w:rsidRPr="00000000">
        <w:rPr>
          <w:rFonts w:ascii="Verdana" w:cs="Verdana" w:eastAsia="Verdana" w:hAnsi="Verdana"/>
          <w:b w:val="0"/>
          <w:i w:val="0"/>
          <w:smallCaps w:val="0"/>
          <w:strike w:val="0"/>
          <w:color w:val="585858"/>
          <w:sz w:val="20"/>
          <w:szCs w:val="20"/>
          <w:u w:val="none"/>
          <w:shd w:fill="auto" w:val="clear"/>
          <w:vertAlign w:val="baseline"/>
          <w:rtl w:val="0"/>
        </w:rPr>
        <w:t xml:space="preserve"> A junio de 2024 el Distrito de Barranquilla acumulaba un déficit fiscal de $696.735 millones, al incorporar los recursos del balance disponibles de vigencias anteriores y las amortizaciones realizadas durante el primer semestre, el déficit presupuestal se ubicó en $449.252 millones. Este resultado se presenta por los mayores compromisos de inversión que el Distrito particularmente asumió en los sectores de Vivienda, Ciudad y Territorio, Transporte y Gobierno Territorial.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585858"/>
          <w:sz w:val="20"/>
          <w:szCs w:val="20"/>
          <w:u w:val="none"/>
          <w:shd w:fill="auto" w:val="clear"/>
          <w:vertAlign w:val="baseline"/>
        </w:rPr>
      </w:pPr>
      <w:r w:rsidDel="00000000" w:rsidR="00000000" w:rsidRPr="00000000">
        <w:rPr>
          <w:rFonts w:ascii="Verdana" w:cs="Verdana" w:eastAsia="Verdana" w:hAnsi="Verdana"/>
          <w:b w:val="0"/>
          <w:i w:val="0"/>
          <w:smallCaps w:val="0"/>
          <w:strike w:val="0"/>
          <w:color w:val="585858"/>
          <w:sz w:val="20"/>
          <w:szCs w:val="20"/>
          <w:u w:val="none"/>
          <w:shd w:fill="auto" w:val="clear"/>
          <w:vertAlign w:val="baseline"/>
          <w:rtl w:val="0"/>
        </w:rPr>
        <w:t xml:space="preserve">3)Durante el primer semestre de 2024 el Distrito no ha efectuado nuevas contrataciones de deuda pública y realizó amortizaciones de capital por $30.782 millones a sus acreencias internas con la Banca Comercial y la Banca de Fomento. A partir de estas amortizaciones, el saldo de deuda pública distrital ascendió a $2,8 billones.</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585858"/>
          <w:sz w:val="20"/>
          <w:szCs w:val="20"/>
          <w:u w:val="none"/>
          <w:shd w:fill="auto" w:val="clear"/>
          <w:vertAlign w:val="baseline"/>
        </w:rPr>
      </w:pPr>
      <w:r w:rsidDel="00000000" w:rsidR="00000000" w:rsidRPr="00000000">
        <w:rPr>
          <w:rFonts w:ascii="Verdana" w:cs="Verdana" w:eastAsia="Verdana" w:hAnsi="Verdana"/>
          <w:b w:val="0"/>
          <w:i w:val="0"/>
          <w:smallCaps w:val="0"/>
          <w:strike w:val="0"/>
          <w:color w:val="585858"/>
          <w:sz w:val="20"/>
          <w:szCs w:val="20"/>
          <w:u w:val="none"/>
          <w:shd w:fill="auto" w:val="clear"/>
          <w:vertAlign w:val="baseline"/>
          <w:rtl w:val="0"/>
        </w:rPr>
        <w:t xml:space="preserve">4) En junio de 2024, la firma Moody’s evaluó el riesgo del Distrito otorgando una calificación de largo plazo de Baa, calificación de riesgo similar a la de la Nación para esta firma. </w:t>
      </w:r>
    </w:p>
    <w:p w:rsidR="00000000" w:rsidDel="00000000" w:rsidP="00000000" w:rsidRDefault="00000000" w:rsidRPr="00000000" w14:paraId="00000052">
      <w:pPr>
        <w:numPr>
          <w:ilvl w:val="0"/>
          <w:numId w:val="1"/>
        </w:numPr>
        <w:spacing w:after="0" w:line="240" w:lineRule="auto"/>
        <w:ind w:left="0" w:firstLine="0"/>
        <w:rPr>
          <w:rFonts w:ascii="Verdana" w:cs="Verdana" w:eastAsia="Verdana" w:hAnsi="Verdana"/>
          <w:color w:val="000000"/>
          <w:sz w:val="20"/>
          <w:szCs w:val="20"/>
        </w:rPr>
      </w:pPr>
      <w:r w:rsidDel="00000000" w:rsidR="00000000" w:rsidRPr="00000000">
        <w:rPr>
          <w:rFonts w:ascii="Verdana" w:cs="Verdana" w:eastAsia="Verdana" w:hAnsi="Verdana"/>
          <w:color w:val="585858"/>
          <w:sz w:val="20"/>
          <w:szCs w:val="20"/>
          <w:rtl w:val="0"/>
        </w:rPr>
        <w:t xml:space="preserve">5) Con base en la información a junio de 2024, se vislumbran riesgos de incumplimiento del marco de responsabilidad y disciplina fiscal al cierre de la vigencia, considerando la situación deficitaria y las actuales destinaciones a funcionamiento, inversión y servicio de la deuda. </w:t>
      </w:r>
      <w:r w:rsidDel="00000000" w:rsidR="00000000" w:rsidRPr="00000000">
        <w:rPr>
          <w:rtl w:val="0"/>
        </w:rPr>
      </w:r>
    </w:p>
    <w:p w:rsidR="00000000" w:rsidDel="00000000" w:rsidP="00000000" w:rsidRDefault="00000000" w:rsidRPr="00000000" w14:paraId="00000053">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54">
      <w:pPr>
        <w:spacing w:after="0" w:line="240" w:lineRule="auto"/>
        <w:rPr>
          <w:rFonts w:ascii="Verdana" w:cs="Verdana" w:eastAsia="Verdana" w:hAnsi="Verdana"/>
          <w:b w:val="1"/>
          <w:color w:val="000000"/>
          <w:sz w:val="20"/>
          <w:szCs w:val="20"/>
        </w:rPr>
      </w:pPr>
      <w:r w:rsidDel="00000000" w:rsidR="00000000" w:rsidRPr="00000000">
        <w:rPr>
          <w:rFonts w:ascii="Verdana" w:cs="Verdana" w:eastAsia="Verdana" w:hAnsi="Verdana"/>
          <w:b w:val="1"/>
          <w:color w:val="000000"/>
          <w:sz w:val="20"/>
          <w:szCs w:val="20"/>
          <w:rtl w:val="0"/>
        </w:rPr>
        <w:t xml:space="preserve">En síntesis, no hay duda que la calificación dada por la firma contratada por el Distrito Fitch Ratings, no concuerda con su informe y menos con la calificación que da la firma Modys y el análisis que hace la DAF, de la situación financiera del primer semestre del año 2024, adelantándose en decir que el informe anual será más contundente.</w:t>
      </w:r>
    </w:p>
    <w:p w:rsidR="00000000" w:rsidDel="00000000" w:rsidP="00000000" w:rsidRDefault="00000000" w:rsidRPr="00000000" w14:paraId="00000055">
      <w:pPr>
        <w:spacing w:after="0" w:line="24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Definitivamente el Distrito esta sobre endeudado, prueba de ello, es que transcurrido 17 meses de la nueva administración no han recibido un solo peso de la banca nacional</w:t>
      </w:r>
      <w:r w:rsidDel="00000000" w:rsidR="00000000" w:rsidRPr="00000000">
        <w:rPr>
          <w:rFonts w:ascii="Verdana" w:cs="Verdana" w:eastAsia="Verdana" w:hAnsi="Verdana"/>
          <w:color w:val="000000"/>
          <w:sz w:val="20"/>
          <w:szCs w:val="20"/>
          <w:rtl w:val="0"/>
        </w:rPr>
        <w:t xml:space="preserve"> </w:t>
      </w:r>
      <w:r w:rsidDel="00000000" w:rsidR="00000000" w:rsidRPr="00000000">
        <w:rPr>
          <w:rFonts w:ascii="Verdana" w:cs="Verdana" w:eastAsia="Verdana" w:hAnsi="Verdana"/>
          <w:b w:val="1"/>
          <w:color w:val="000000"/>
          <w:sz w:val="20"/>
          <w:szCs w:val="20"/>
          <w:rtl w:val="0"/>
        </w:rPr>
        <w:t xml:space="preserve">y extranjera</w:t>
      </w:r>
      <w:r w:rsidDel="00000000" w:rsidR="00000000" w:rsidRPr="00000000">
        <w:rPr>
          <w:rFonts w:ascii="Verdana" w:cs="Verdana" w:eastAsia="Verdana" w:hAnsi="Verdana"/>
          <w:color w:val="000000"/>
          <w:sz w:val="20"/>
          <w:szCs w:val="20"/>
          <w:rtl w:val="0"/>
        </w:rPr>
        <w:t xml:space="preserve">. Lo recibido fue por FINDETER debido a las relaciones que se tienen con el director Juan Carlos Muñiz, persona que tiene problemas serios con los organismos de control por los prestamos que le hiciera al señor Alberto Ríos, sin considerar las garantías necesarias para esos créditos. Una plata de los colombianos que es posible que se pierda. Bastante mano floja resulto el doctor Muñiz con los dineros públicos.</w:t>
      </w:r>
    </w:p>
    <w:p w:rsidR="00000000" w:rsidDel="00000000" w:rsidP="00000000" w:rsidRDefault="00000000" w:rsidRPr="00000000" w14:paraId="00000056">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57">
      <w:pPr>
        <w:spacing w:after="0" w:line="240" w:lineRule="auto"/>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Alcalde, lo que queda es trabajar con lo que tiene y buscar la manera de ir saneando las finanzas para ajustarnos a los parámetros de las leyes 617/00 y 358/97. Los barranquilleros se han venido sacrificando pagando altos impuestos, muchos de los cuales deben revisarse con el Concejo, los gremios económicos y la academia. Es mucha la inversión social que hace falta, es hora de que decidan invertir cada peso que entra en proyectos que generen un mayor beneficio social, para ello deben enfrentarse proyectos, porque los recursos financieros siempre serán escasos, y ante la animadversión que tiene el presidente Petro contra Barranquilla en lo que resta de su gobierno no recibiremos recursos adicionales a los del SGP.</w:t>
      </w:r>
    </w:p>
    <w:p w:rsidR="00000000" w:rsidDel="00000000" w:rsidP="00000000" w:rsidRDefault="00000000" w:rsidRPr="00000000" w14:paraId="00000058">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59">
      <w:pPr>
        <w:spacing w:after="0" w:line="240" w:lineRule="auto"/>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Sobre esto último lo invitó a que conforme un equipo de trabajo, para prepararse y poder participar con argumentos y conocimiento en la ley de competencias que el gobierno viene preparando para socializarla. Esa ley significa que la Nación en doce años, aumenta la participación de las entidades territoriales del 27.5% al 39.5%, de los ICN. Unos 12.5 puntos, lo que significa aproximadamente $35 billones adicionales a repartir, entre todas las entidades territoriales, pero asumiendo nuevas competencias. El futuro de las entidades territoriales está en esa ley de competencias.</w:t>
      </w:r>
    </w:p>
    <w:p w:rsidR="00000000" w:rsidDel="00000000" w:rsidP="00000000" w:rsidRDefault="00000000" w:rsidRPr="00000000" w14:paraId="0000005A">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5B">
      <w:pPr>
        <w:spacing w:after="0" w:line="240" w:lineRule="auto"/>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Esa ley, va a lograr aprobarse gracias al presidente Gustavo Petro quién ha dicho reiterativamente que es “para cerrar brechas”. Para lograrlo ha encargado a los ministerios de Hacienda e Interior, como al DNP que concentren sus esfuerzos para tener lito el proyecto de ley, para las sesiones ordinarias del mes de julio del 2025.</w:t>
      </w:r>
    </w:p>
    <w:p w:rsidR="00000000" w:rsidDel="00000000" w:rsidP="00000000" w:rsidRDefault="00000000" w:rsidRPr="00000000" w14:paraId="0000005C">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5D">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5E">
      <w:pPr>
        <w:spacing w:after="0" w:line="240" w:lineRule="auto"/>
        <w:rPr>
          <w:rFonts w:ascii="Verdana" w:cs="Verdana" w:eastAsia="Verdana" w:hAnsi="Verdana"/>
          <w:color w:val="000000"/>
          <w:sz w:val="20"/>
          <w:szCs w:val="20"/>
        </w:rPr>
      </w:pPr>
      <w:r w:rsidDel="00000000" w:rsidR="00000000" w:rsidRPr="00000000">
        <w:rPr>
          <w:rFonts w:ascii="Verdana" w:cs="Verdana" w:eastAsia="Verdana" w:hAnsi="Verdana"/>
          <w:b w:val="1"/>
          <w:color w:val="000000"/>
          <w:sz w:val="20"/>
          <w:szCs w:val="20"/>
          <w:rtl w:val="0"/>
        </w:rPr>
        <w:t xml:space="preserve">Nota:</w:t>
      </w:r>
      <w:r w:rsidDel="00000000" w:rsidR="00000000" w:rsidRPr="00000000">
        <w:rPr>
          <w:rFonts w:ascii="Verdana" w:cs="Verdana" w:eastAsia="Verdana" w:hAnsi="Verdana"/>
          <w:color w:val="000000"/>
          <w:sz w:val="20"/>
          <w:szCs w:val="20"/>
          <w:rtl w:val="0"/>
        </w:rPr>
        <w:t xml:space="preserve"> No hay información financiera publicada en la web del 2025. Los recaudos por ICA deben aumentar por el alza decretada en octubre de 2024. La ley no rige para el Distrito.</w:t>
      </w:r>
    </w:p>
    <w:p w:rsidR="00000000" w:rsidDel="00000000" w:rsidP="00000000" w:rsidRDefault="00000000" w:rsidRPr="00000000" w14:paraId="0000005F">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60">
      <w:pPr>
        <w:spacing w:after="0" w:line="240" w:lineRule="auto"/>
        <w:rPr>
          <w:rFonts w:ascii="Verdana" w:cs="Verdana" w:eastAsia="Verdana" w:hAnsi="Verdana"/>
          <w:color w:val="000000"/>
          <w:sz w:val="20"/>
          <w:szCs w:val="20"/>
        </w:rPr>
      </w:pPr>
      <w:r w:rsidDel="00000000" w:rsidR="00000000" w:rsidRPr="00000000">
        <w:rPr>
          <w:rFonts w:ascii="Verdana" w:cs="Verdana" w:eastAsia="Verdana" w:hAnsi="Verdana"/>
          <w:color w:val="000000"/>
          <w:sz w:val="20"/>
          <w:szCs w:val="20"/>
          <w:rtl w:val="0"/>
        </w:rPr>
        <w:t xml:space="preserve">Barranquilla, mayo 26 de 2025.</w:t>
      </w:r>
    </w:p>
    <w:p w:rsidR="00000000" w:rsidDel="00000000" w:rsidP="00000000" w:rsidRDefault="00000000" w:rsidRPr="00000000" w14:paraId="00000061">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62">
      <w:pPr>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63">
      <w:pPr>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64">
      <w:pPr>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65">
      <w:pPr>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66">
      <w:pPr>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67">
      <w:pPr>
        <w:rPr>
          <w:b w:val="1"/>
          <w:color w:val="ffffff"/>
          <w:sz w:val="20"/>
          <w:szCs w:val="20"/>
        </w:rPr>
      </w:pPr>
      <w:r w:rsidDel="00000000" w:rsidR="00000000" w:rsidRPr="00000000">
        <w:rPr>
          <w:b w:val="1"/>
          <w:color w:val="ffffff"/>
          <w:sz w:val="20"/>
          <w:szCs w:val="20"/>
          <w:rtl w:val="0"/>
        </w:rPr>
        <w:t xml:space="preserve">DE C</w:t>
      </w:r>
    </w:p>
    <w:p w:rsidR="00000000" w:rsidDel="00000000" w:rsidP="00000000" w:rsidRDefault="00000000" w:rsidRPr="00000000" w14:paraId="00000068">
      <w:pPr>
        <w:rPr>
          <w:b w:val="1"/>
          <w:color w:val="ffffff"/>
          <w:sz w:val="20"/>
          <w:szCs w:val="20"/>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585858"/>
          <w:sz w:val="20"/>
          <w:szCs w:val="20"/>
          <w:u w:val="none"/>
          <w:shd w:fill="auto" w:val="clear"/>
          <w:vertAlign w:val="baseline"/>
        </w:rPr>
      </w:pPr>
      <w:bookmarkStart w:colFirst="0" w:colLast="0" w:name="_y2exj1ou709z" w:id="0"/>
      <w:bookmarkEnd w:id="0"/>
      <w:r w:rsidDel="00000000" w:rsidR="00000000" w:rsidRPr="00000000">
        <w:rPr>
          <w:rFonts w:ascii="Verdana" w:cs="Verdana" w:eastAsia="Verdana" w:hAnsi="Verdana"/>
          <w:b w:val="1"/>
          <w:i w:val="0"/>
          <w:smallCaps w:val="0"/>
          <w:strike w:val="0"/>
          <w:color w:val="ffffff"/>
          <w:sz w:val="20"/>
          <w:szCs w:val="20"/>
          <w:u w:val="none"/>
          <w:shd w:fill="auto" w:val="clear"/>
          <w:vertAlign w:val="baseline"/>
          <w:rtl w:val="0"/>
        </w:rPr>
        <w:t xml:space="preserve">RÉDITO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B">
      <w:pPr>
        <w:spacing w:after="0" w:line="240" w:lineRule="auto"/>
        <w:rPr>
          <w:rFonts w:ascii="Verdana" w:cs="Verdana" w:eastAsia="Verdana" w:hAnsi="Verdana"/>
          <w:color w:val="000000"/>
          <w:sz w:val="20"/>
          <w:szCs w:val="20"/>
        </w:rPr>
      </w:pPr>
      <w:r w:rsidDel="00000000" w:rsidR="00000000" w:rsidRPr="00000000">
        <w:rPr>
          <w:rtl w:val="0"/>
        </w:rPr>
      </w:r>
    </w:p>
    <w:p w:rsidR="00000000" w:rsidDel="00000000" w:rsidP="00000000" w:rsidRDefault="00000000" w:rsidRPr="00000000" w14:paraId="0000006C">
      <w:pPr>
        <w:pageBreakBefore w:val="1"/>
        <w:spacing w:after="0"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6D">
      <w:pPr>
        <w:rPr>
          <w:sz w:val="20"/>
          <w:szCs w:val="20"/>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Quattrocento Sans"/>
  <w:font w:name="Roboto"/>
  <w:font w:name="inherit"/>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CO"/>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